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E8" w:rsidRPr="007044E8" w:rsidRDefault="007044E8" w:rsidP="007044E8">
      <w:pPr>
        <w:widowControl/>
        <w:shd w:val="clear" w:color="auto" w:fill="FFFFFF"/>
        <w:spacing w:line="270" w:lineRule="atLeast"/>
        <w:ind w:firstLine="19"/>
        <w:jc w:val="center"/>
        <w:rPr>
          <w:rFonts w:ascii="Simsun" w:eastAsia="宋体" w:hAnsi="Simsun" w:cs="宋体" w:hint="eastAsia"/>
          <w:color w:val="333333"/>
          <w:kern w:val="0"/>
          <w:sz w:val="18"/>
          <w:szCs w:val="18"/>
        </w:rPr>
      </w:pPr>
      <w:r w:rsidRPr="007044E8">
        <w:rPr>
          <w:rFonts w:ascii="黑体" w:eastAsia="黑体" w:hAnsi="黑体" w:cs="宋体" w:hint="eastAsia"/>
          <w:color w:val="333333"/>
          <w:kern w:val="0"/>
          <w:sz w:val="32"/>
          <w:szCs w:val="32"/>
        </w:rPr>
        <w:t>中国石油大学（北京）</w:t>
      </w:r>
    </w:p>
    <w:p w:rsidR="007044E8" w:rsidRPr="007044E8" w:rsidRDefault="007044E8" w:rsidP="007044E8">
      <w:pPr>
        <w:widowControl/>
        <w:shd w:val="clear" w:color="auto" w:fill="FFFFFF"/>
        <w:spacing w:line="270" w:lineRule="atLeast"/>
        <w:ind w:firstLine="19"/>
        <w:jc w:val="center"/>
        <w:rPr>
          <w:rFonts w:ascii="Simsun" w:eastAsia="宋体" w:hAnsi="Simsun" w:cs="宋体" w:hint="eastAsia"/>
          <w:color w:val="333333"/>
          <w:kern w:val="0"/>
          <w:sz w:val="18"/>
          <w:szCs w:val="18"/>
        </w:rPr>
      </w:pPr>
      <w:r w:rsidRPr="007044E8">
        <w:rPr>
          <w:rFonts w:ascii="黑体" w:eastAsia="黑体" w:hAnsi="黑体" w:cs="宋体" w:hint="eastAsia"/>
          <w:color w:val="333333"/>
          <w:kern w:val="0"/>
          <w:sz w:val="32"/>
          <w:szCs w:val="32"/>
        </w:rPr>
        <w:t>博士生在学期间发表学术论文基本要求规定</w:t>
      </w:r>
      <w:r w:rsidRPr="007044E8">
        <w:rPr>
          <w:rFonts w:ascii="黑体" w:eastAsia="黑体" w:hAnsi="黑体" w:cs="宋体" w:hint="eastAsia"/>
          <w:color w:val="333333"/>
          <w:kern w:val="0"/>
          <w:sz w:val="32"/>
          <w:szCs w:val="32"/>
        </w:rPr>
        <w:br/>
      </w:r>
      <w:r w:rsidRPr="007044E8">
        <w:rPr>
          <w:rFonts w:ascii="黑体" w:eastAsia="黑体" w:hAnsi="黑体" w:cs="宋体" w:hint="eastAsia"/>
          <w:color w:val="333333"/>
          <w:kern w:val="0"/>
          <w:sz w:val="24"/>
          <w:szCs w:val="24"/>
        </w:rPr>
        <w:t>（经2011年第九届学位评定委员会第二次会议审议通过，2014年第十届学位评定委员会第四次会议修订）</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Simsun" w:eastAsia="宋体" w:hAnsi="Simsun" w:cs="宋体"/>
          <w:color w:val="333333"/>
          <w:kern w:val="0"/>
          <w:sz w:val="18"/>
          <w:szCs w:val="18"/>
        </w:rPr>
        <w:t> </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一、博士生在学期间发表学术论文满足下列基本要求，方可申请博士学位</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（一）满足本学院（中心）规定的期刊学术论文要求（见附件）。</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FF0000"/>
          <w:kern w:val="0"/>
          <w:sz w:val="18"/>
          <w:szCs w:val="18"/>
        </w:rPr>
      </w:pPr>
      <w:r w:rsidRPr="007044E8">
        <w:rPr>
          <w:rFonts w:ascii="仿宋_GB2312" w:eastAsia="仿宋_GB2312" w:hAnsi="Simsun" w:cs="宋体" w:hint="eastAsia"/>
          <w:color w:val="FF0000"/>
          <w:kern w:val="0"/>
          <w:sz w:val="28"/>
          <w:szCs w:val="28"/>
        </w:rPr>
        <w:t>（二）至少参加一次全国性或国际性学术会议，宣读或张贴并发表一篇学术论文（由学院（中心）学位分委员会负责审核）。</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二、对于发表的学术论文，中国石油大学（北京）应为第一署名单位，博士生本人应为论文第一作者，且有本人导师（以研究生名册为准）署名。</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三、发表的学术论文内容应与学位论文相关，除特别说明外，均要求见刊，不得以论文接收函或录用证明代替，发表的期刊必须是正刊或被SCI或EI收录的增刊。</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四、获得的科技成果奖励、发明专利按如下办法折算</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获得一项国家级科技成果奖励（有证书）或获得一项省部级科技成果一等奖（排名前十名）、二等奖（前六名）、三等奖（前三名），等同于一篇国内期刊论文被SCI或EI收录。博士生发表的学术论文篇数已达到基本要求，但被SCI或EI收录的期刊论文篇数不够时方可按此方式折算。</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获得一项发明专利（学生和导师分别为前两位发明人）等同于在SCI或EI收录的国内期刊上发表一篇论文。获得一项实用新型专</w:t>
      </w:r>
      <w:r w:rsidRPr="007044E8">
        <w:rPr>
          <w:rFonts w:ascii="仿宋_GB2312" w:eastAsia="仿宋_GB2312" w:hAnsi="Simsun" w:cs="宋体" w:hint="eastAsia"/>
          <w:color w:val="333333"/>
          <w:kern w:val="0"/>
          <w:sz w:val="28"/>
          <w:szCs w:val="28"/>
        </w:rPr>
        <w:lastRenderedPageBreak/>
        <w:t>利（学生和导师分别为前两位发明人）等同于在核心期刊上发表一篇论文。</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科技成果奖励和发明专利总共只能有一篇论文可按上述标准折算。</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上述排名只以获奖证书的获奖人员或专利证书上的发明人排名为准。获得的奖励或专利，中国石油大学（北京）应是署名单位之一。</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五、发表的学术论文及获得的科技成果奖励、发明专利等信息在网上公布。</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六、若博士生发表的学术论文未达到上述申请学位的要求，但达到所在学院规定的学位论文评审和答辩要求，可以申请学位论文评审和答辩，但不能申请学位。博士生毕业两年（时间在学校规定的最长学习年限内，下同）内,满足发表论文要求后,由本人提出申请,学院分委员会再审议是否授予其学位。博士生毕业两年后仍未达到申请博士学位发表学术论文基本要求的，校学位委员会原则上不再受理其学位申请。</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七、相关术语定义</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（一）</w:t>
      </w:r>
      <w:r w:rsidRPr="00A25C4B">
        <w:rPr>
          <w:rFonts w:ascii="仿宋_GB2312" w:eastAsia="仿宋_GB2312" w:hAnsi="Simsun" w:cs="宋体" w:hint="eastAsia"/>
          <w:color w:val="333333"/>
          <w:kern w:val="0"/>
          <w:sz w:val="28"/>
          <w:szCs w:val="28"/>
          <w:highlight w:val="yellow"/>
        </w:rPr>
        <w:t>核心期刊是指《中文核心期刊要目总览》（北京大学图书馆和北京高校图书馆期刊工作研究会主编，北京大学出版社，不定期出版）收录的期刊以及《中国科技期刊引证报告》（中国科学技术信息研究所主编，科学技术文献出版社出版，每年出版一次）中的“中国科技论文统计源期刊目录”（也称“中国科技核心期刊目录”）收</w:t>
      </w:r>
      <w:r w:rsidRPr="00A25C4B">
        <w:rPr>
          <w:rFonts w:ascii="仿宋_GB2312" w:eastAsia="仿宋_GB2312" w:hAnsi="Simsun" w:cs="宋体" w:hint="eastAsia"/>
          <w:color w:val="333333"/>
          <w:kern w:val="0"/>
          <w:sz w:val="28"/>
          <w:szCs w:val="28"/>
          <w:highlight w:val="yellow"/>
        </w:rPr>
        <w:lastRenderedPageBreak/>
        <w:t>录的期刊。核心期刊目录，以研究生入学当年至申请学位当年期间的版本作为核查依据。</w:t>
      </w:r>
      <w:bookmarkStart w:id="0" w:name="_GoBack"/>
      <w:bookmarkEnd w:id="0"/>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（二）SCI或EI收录的中国期刊是指《中国科技论文统计与分析》年度研究报告附录中所列的SCI</w:t>
      </w:r>
      <w:r w:rsidRPr="007044E8">
        <w:rPr>
          <w:rFonts w:ascii="宋体" w:eastAsia="宋体" w:hAnsi="宋体" w:cs="宋体" w:hint="eastAsia"/>
          <w:color w:val="333333"/>
          <w:kern w:val="0"/>
          <w:sz w:val="28"/>
          <w:szCs w:val="28"/>
        </w:rPr>
        <w:t>-</w:t>
      </w:r>
      <w:r w:rsidRPr="007044E8">
        <w:rPr>
          <w:rFonts w:ascii="仿宋_GB2312" w:eastAsia="仿宋_GB2312" w:hAnsi="Simsun" w:cs="宋体" w:hint="eastAsia"/>
          <w:color w:val="333333"/>
          <w:kern w:val="0"/>
          <w:sz w:val="28"/>
          <w:szCs w:val="28"/>
        </w:rPr>
        <w:t xml:space="preserve">EXPANDED（网络版）或EI </w:t>
      </w:r>
      <w:proofErr w:type="spellStart"/>
      <w:r w:rsidRPr="007044E8">
        <w:rPr>
          <w:rFonts w:ascii="仿宋_GB2312" w:eastAsia="仿宋_GB2312" w:hAnsi="Simsun" w:cs="宋体" w:hint="eastAsia"/>
          <w:color w:val="333333"/>
          <w:kern w:val="0"/>
          <w:sz w:val="28"/>
          <w:szCs w:val="28"/>
        </w:rPr>
        <w:t>Compendex</w:t>
      </w:r>
      <w:proofErr w:type="spellEnd"/>
      <w:r w:rsidRPr="007044E8">
        <w:rPr>
          <w:rFonts w:ascii="仿宋_GB2312" w:eastAsia="仿宋_GB2312" w:hAnsi="Simsun" w:cs="宋体" w:hint="eastAsia"/>
          <w:color w:val="333333"/>
          <w:kern w:val="0"/>
          <w:sz w:val="28"/>
          <w:szCs w:val="28"/>
        </w:rPr>
        <w:t>收录的中国期刊。该报告由中国科学技术信息研究所主编，科学技术文献出版社出版，每年出版一次。SCI或EI收录的中国期刊和国外期刊目录，以研究生入学前二年至申请学位当年期间的版本作为核查依据。被SCI或EI收录的论文以中国石油大学（北京）图书馆（教育部科技查新工作站）出具的检索证明为准。</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（三）JCR（Journal Citation Reports）即“期刊引用报告”，是美国科学情报研究所（ISI）编制出版的一部评价期刊的重要工具。JCR期刊分区表是指中国科学院文献情报中心发布的《JCR</w:t>
      </w:r>
      <w:r w:rsidRPr="007044E8">
        <w:rPr>
          <w:rFonts w:ascii="仿宋_GB2312" w:eastAsia="仿宋_GB2312" w:hAnsi="Simsun" w:cs="宋体" w:hint="eastAsia"/>
          <w:color w:val="333333"/>
          <w:kern w:val="0"/>
          <w:sz w:val="28"/>
          <w:szCs w:val="28"/>
        </w:rPr>
        <w:t> </w:t>
      </w:r>
      <w:r w:rsidRPr="007044E8">
        <w:rPr>
          <w:rFonts w:ascii="仿宋_GB2312" w:eastAsia="仿宋_GB2312" w:hAnsi="Simsun" w:cs="宋体" w:hint="eastAsia"/>
          <w:color w:val="333333"/>
          <w:kern w:val="0"/>
          <w:sz w:val="28"/>
          <w:szCs w:val="28"/>
        </w:rPr>
        <w:t>期刊影响因子及分区情况》，以期刊收到论文的日期当年及前一年的版本作为核查依据，影响因子以核查版本中最近三年的最高影响因子为依据。</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（四）国外高水平学术期刊是指出版地在中国（含香港、澳门和台湾地区）境外、具有ISSN国际标准期刊刊号且可以检索到的具有较高学术影响力和学术水平的正式连续出版刊物。</w:t>
      </w:r>
    </w:p>
    <w:p w:rsidR="007044E8" w:rsidRPr="007044E8" w:rsidRDefault="007044E8" w:rsidP="007044E8">
      <w:pPr>
        <w:widowControl/>
        <w:shd w:val="clear" w:color="auto" w:fill="FFFFFF"/>
        <w:spacing w:line="270" w:lineRule="atLeast"/>
        <w:ind w:firstLine="630"/>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t>八、</w:t>
      </w:r>
      <w:proofErr w:type="gramStart"/>
      <w:r w:rsidRPr="007044E8">
        <w:rPr>
          <w:rFonts w:ascii="仿宋_GB2312" w:eastAsia="仿宋_GB2312" w:hAnsi="Simsun" w:cs="宋体" w:hint="eastAsia"/>
          <w:color w:val="333333"/>
          <w:kern w:val="0"/>
          <w:sz w:val="28"/>
          <w:szCs w:val="28"/>
        </w:rPr>
        <w:t>本要求</w:t>
      </w:r>
      <w:proofErr w:type="gramEnd"/>
      <w:r w:rsidRPr="007044E8">
        <w:rPr>
          <w:rFonts w:ascii="仿宋_GB2312" w:eastAsia="仿宋_GB2312" w:hAnsi="Simsun" w:cs="宋体" w:hint="eastAsia"/>
          <w:color w:val="333333"/>
          <w:kern w:val="0"/>
          <w:sz w:val="28"/>
          <w:szCs w:val="28"/>
        </w:rPr>
        <w:t>经中国石油大学（北京）第九届学位评定委员会第二次会议审议通过，从2010级博士生开始执行，2010级以前学位论文未按期答辩的博士生可以参照执行，由研究生院负责解释。</w:t>
      </w:r>
    </w:p>
    <w:p w:rsidR="007044E8" w:rsidRPr="007044E8" w:rsidRDefault="007044E8" w:rsidP="007044E8">
      <w:pPr>
        <w:widowControl/>
        <w:shd w:val="clear" w:color="auto" w:fill="FFFFFF"/>
        <w:spacing w:before="150" w:after="150" w:line="270" w:lineRule="atLeast"/>
        <w:jc w:val="left"/>
        <w:rPr>
          <w:rFonts w:ascii="Simsun" w:eastAsia="宋体" w:hAnsi="Simsun" w:cs="宋体" w:hint="eastAsia"/>
          <w:color w:val="333333"/>
          <w:kern w:val="0"/>
          <w:sz w:val="18"/>
          <w:szCs w:val="18"/>
        </w:rPr>
      </w:pPr>
      <w:r w:rsidRPr="007044E8">
        <w:rPr>
          <w:rFonts w:ascii="Times New Roman" w:eastAsia="宋体" w:hAnsi="Times New Roman" w:cs="Times New Roman"/>
          <w:color w:val="333333"/>
          <w:kern w:val="0"/>
          <w:szCs w:val="21"/>
        </w:rPr>
        <w:br/>
      </w:r>
      <w:r w:rsidRPr="007044E8">
        <w:rPr>
          <w:rFonts w:ascii="Simsun" w:eastAsia="宋体" w:hAnsi="Simsun" w:cs="宋体"/>
          <w:color w:val="333333"/>
          <w:kern w:val="0"/>
          <w:sz w:val="18"/>
          <w:szCs w:val="18"/>
        </w:rPr>
        <w:t> </w:t>
      </w:r>
    </w:p>
    <w:p w:rsidR="00DE259A" w:rsidRDefault="00DE259A" w:rsidP="007044E8">
      <w:pPr>
        <w:widowControl/>
        <w:shd w:val="clear" w:color="auto" w:fill="FFFFFF"/>
        <w:spacing w:line="270" w:lineRule="atLeast"/>
        <w:ind w:firstLine="473"/>
        <w:jc w:val="left"/>
        <w:rPr>
          <w:rFonts w:ascii="仿宋_GB2312" w:eastAsia="仿宋_GB2312" w:hAnsi="Simsun" w:cs="宋体" w:hint="eastAsia"/>
          <w:color w:val="333333"/>
          <w:kern w:val="0"/>
          <w:sz w:val="28"/>
          <w:szCs w:val="28"/>
        </w:rPr>
      </w:pPr>
    </w:p>
    <w:p w:rsidR="007044E8" w:rsidRPr="00DE259A" w:rsidRDefault="007044E8" w:rsidP="00DE259A">
      <w:pPr>
        <w:widowControl/>
        <w:shd w:val="clear" w:color="auto" w:fill="FFFFFF"/>
        <w:spacing w:line="270" w:lineRule="atLeast"/>
        <w:ind w:firstLine="473"/>
        <w:jc w:val="left"/>
        <w:rPr>
          <w:rFonts w:ascii="Simsun" w:eastAsia="宋体" w:hAnsi="Simsun" w:cs="宋体" w:hint="eastAsia"/>
          <w:color w:val="333333"/>
          <w:kern w:val="0"/>
          <w:sz w:val="18"/>
          <w:szCs w:val="18"/>
        </w:rPr>
      </w:pPr>
      <w:r w:rsidRPr="007044E8">
        <w:rPr>
          <w:rFonts w:ascii="仿宋_GB2312" w:eastAsia="仿宋_GB2312" w:hAnsi="Simsun" w:cs="宋体" w:hint="eastAsia"/>
          <w:color w:val="333333"/>
          <w:kern w:val="0"/>
          <w:sz w:val="28"/>
          <w:szCs w:val="28"/>
        </w:rPr>
        <w:lastRenderedPageBreak/>
        <w:t>附件</w:t>
      </w:r>
    </w:p>
    <w:p w:rsidR="00E659B9" w:rsidRPr="00E659B9" w:rsidRDefault="00E659B9" w:rsidP="00E659B9">
      <w:pPr>
        <w:widowControl/>
        <w:adjustRightInd w:val="0"/>
        <w:snapToGrid w:val="0"/>
        <w:spacing w:line="360" w:lineRule="auto"/>
        <w:jc w:val="center"/>
        <w:rPr>
          <w:rFonts w:ascii="宋体" w:eastAsia="宋体" w:hAnsi="宋体" w:cs="宋体"/>
          <w:color w:val="333333"/>
          <w:kern w:val="0"/>
          <w:sz w:val="18"/>
          <w:szCs w:val="18"/>
        </w:rPr>
      </w:pPr>
      <w:r w:rsidRPr="00E659B9">
        <w:rPr>
          <w:rFonts w:ascii="黑体" w:eastAsia="黑体" w:hAnsi="宋体" w:cs="宋体" w:hint="eastAsia"/>
          <w:color w:val="333333"/>
          <w:kern w:val="0"/>
          <w:sz w:val="30"/>
          <w:szCs w:val="30"/>
        </w:rPr>
        <w:t>工商管理学院</w:t>
      </w:r>
    </w:p>
    <w:p w:rsidR="00E659B9" w:rsidRPr="00E659B9" w:rsidRDefault="00E659B9" w:rsidP="00E659B9">
      <w:pPr>
        <w:widowControl/>
        <w:adjustRightInd w:val="0"/>
        <w:snapToGrid w:val="0"/>
        <w:spacing w:line="360" w:lineRule="auto"/>
        <w:jc w:val="center"/>
        <w:rPr>
          <w:rFonts w:ascii="宋体" w:eastAsia="宋体" w:hAnsi="宋体" w:cs="宋体"/>
          <w:color w:val="333333"/>
          <w:kern w:val="0"/>
          <w:sz w:val="18"/>
          <w:szCs w:val="18"/>
        </w:rPr>
      </w:pPr>
      <w:r w:rsidRPr="00E659B9">
        <w:rPr>
          <w:rFonts w:ascii="黑体" w:eastAsia="黑体" w:hAnsi="宋体" w:cs="宋体" w:hint="eastAsia"/>
          <w:color w:val="333333"/>
          <w:kern w:val="0"/>
          <w:sz w:val="30"/>
          <w:szCs w:val="30"/>
        </w:rPr>
        <w:t>博士生在学期间发表学术论文基本要求</w:t>
      </w:r>
    </w:p>
    <w:p w:rsidR="00E659B9" w:rsidRPr="00E659B9" w:rsidRDefault="00E659B9" w:rsidP="00E659B9">
      <w:pPr>
        <w:widowControl/>
        <w:adjustRightInd w:val="0"/>
        <w:snapToGrid w:val="0"/>
        <w:spacing w:line="360" w:lineRule="auto"/>
        <w:ind w:firstLine="438"/>
        <w:jc w:val="left"/>
        <w:rPr>
          <w:rFonts w:ascii="宋体" w:eastAsia="宋体" w:hAnsi="宋体" w:cs="宋体"/>
          <w:color w:val="333333"/>
          <w:kern w:val="0"/>
          <w:sz w:val="18"/>
          <w:szCs w:val="18"/>
        </w:rPr>
      </w:pPr>
    </w:p>
    <w:p w:rsidR="00E659B9" w:rsidRPr="00E659B9" w:rsidRDefault="00E659B9" w:rsidP="00E659B9">
      <w:pPr>
        <w:widowControl/>
        <w:adjustRightInd w:val="0"/>
        <w:snapToGrid w:val="0"/>
        <w:spacing w:line="360" w:lineRule="auto"/>
        <w:ind w:firstLine="438"/>
        <w:jc w:val="left"/>
        <w:rPr>
          <w:rFonts w:ascii="宋体" w:eastAsia="宋体" w:hAnsi="宋体" w:cs="宋体"/>
          <w:color w:val="333333"/>
          <w:kern w:val="0"/>
          <w:sz w:val="18"/>
          <w:szCs w:val="18"/>
        </w:rPr>
      </w:pPr>
      <w:r w:rsidRPr="00E659B9">
        <w:rPr>
          <w:rFonts w:ascii="仿宋_GB2312" w:eastAsia="仿宋_GB2312" w:hAnsi="宋体" w:cs="宋体" w:hint="eastAsia"/>
          <w:color w:val="333333"/>
          <w:kern w:val="0"/>
          <w:sz w:val="28"/>
          <w:szCs w:val="28"/>
        </w:rPr>
        <w:t>管理科学与工程专业博士研究生在学期间发表的学术论文满足下列条件之一，可申请博士学位。</w:t>
      </w:r>
    </w:p>
    <w:p w:rsidR="00E659B9" w:rsidRPr="00E659B9" w:rsidRDefault="00E659B9" w:rsidP="00E659B9">
      <w:pPr>
        <w:widowControl/>
        <w:adjustRightInd w:val="0"/>
        <w:snapToGrid w:val="0"/>
        <w:spacing w:line="360" w:lineRule="auto"/>
        <w:ind w:firstLine="438"/>
        <w:jc w:val="left"/>
        <w:rPr>
          <w:rFonts w:ascii="宋体" w:eastAsia="宋体" w:hAnsi="宋体" w:cs="宋体"/>
          <w:color w:val="333333"/>
          <w:kern w:val="0"/>
          <w:sz w:val="18"/>
          <w:szCs w:val="18"/>
        </w:rPr>
      </w:pPr>
      <w:r w:rsidRPr="00E659B9">
        <w:rPr>
          <w:rFonts w:ascii="仿宋_GB2312" w:eastAsia="仿宋_GB2312" w:hAnsi="宋体" w:cs="宋体" w:hint="eastAsia"/>
          <w:color w:val="333333"/>
          <w:kern w:val="0"/>
          <w:sz w:val="28"/>
          <w:szCs w:val="28"/>
        </w:rPr>
        <w:t>一、在影响因子大于2.0（含）的国外期刊上至少发表1篇学术论文。</w:t>
      </w:r>
    </w:p>
    <w:p w:rsidR="00E659B9" w:rsidRPr="00E659B9" w:rsidRDefault="00E659B9" w:rsidP="00E659B9">
      <w:pPr>
        <w:widowControl/>
        <w:adjustRightInd w:val="0"/>
        <w:snapToGrid w:val="0"/>
        <w:spacing w:line="360" w:lineRule="auto"/>
        <w:ind w:firstLine="438"/>
        <w:jc w:val="left"/>
        <w:rPr>
          <w:rFonts w:ascii="宋体" w:eastAsia="宋体" w:hAnsi="宋体" w:cs="宋体"/>
          <w:color w:val="333333"/>
          <w:kern w:val="0"/>
          <w:sz w:val="18"/>
          <w:szCs w:val="18"/>
        </w:rPr>
      </w:pPr>
      <w:r w:rsidRPr="00E659B9">
        <w:rPr>
          <w:rFonts w:ascii="仿宋_GB2312" w:eastAsia="仿宋_GB2312" w:hAnsi="宋体" w:cs="宋体" w:hint="eastAsia"/>
          <w:color w:val="333333"/>
          <w:kern w:val="0"/>
          <w:sz w:val="28"/>
          <w:szCs w:val="28"/>
        </w:rPr>
        <w:t>二、在影响因子大于1.0（含）的国外期刊或国家自然科学基金委员会管理科学部管理科学重要学术期刊（目录见附表4）上至少发表2篇学术论文。</w:t>
      </w:r>
    </w:p>
    <w:p w:rsidR="00E659B9" w:rsidRPr="00E659B9" w:rsidRDefault="00E659B9" w:rsidP="00E659B9">
      <w:pPr>
        <w:widowControl/>
        <w:adjustRightInd w:val="0"/>
        <w:snapToGrid w:val="0"/>
        <w:spacing w:line="360" w:lineRule="auto"/>
        <w:ind w:firstLine="438"/>
        <w:jc w:val="left"/>
        <w:rPr>
          <w:rFonts w:ascii="宋体" w:eastAsia="宋体" w:hAnsi="宋体" w:cs="宋体"/>
          <w:color w:val="333333"/>
          <w:kern w:val="0"/>
          <w:sz w:val="18"/>
          <w:szCs w:val="18"/>
        </w:rPr>
      </w:pPr>
      <w:r w:rsidRPr="00E659B9">
        <w:rPr>
          <w:rFonts w:ascii="仿宋_GB2312" w:eastAsia="仿宋_GB2312" w:hAnsi="宋体" w:cs="宋体" w:hint="eastAsia"/>
          <w:color w:val="333333"/>
          <w:kern w:val="0"/>
          <w:sz w:val="28"/>
          <w:szCs w:val="28"/>
        </w:rPr>
        <w:t>三、在核心期刊或国外高水平学术期刊上至少发表3篇与学位论文内容相关学术论文,其中至少1篇论文被EI、SCI或SSCI收录，非在职博士生在国外高水平学术期刊至少发表1篇学术论文。</w:t>
      </w:r>
    </w:p>
    <w:p w:rsidR="00E659B9" w:rsidRPr="00E659B9" w:rsidRDefault="00E659B9" w:rsidP="00E659B9">
      <w:pPr>
        <w:widowControl/>
        <w:adjustRightInd w:val="0"/>
        <w:snapToGrid w:val="0"/>
        <w:spacing w:line="360" w:lineRule="auto"/>
        <w:jc w:val="left"/>
        <w:rPr>
          <w:rFonts w:ascii="宋体" w:eastAsia="宋体" w:hAnsi="宋体" w:cs="宋体"/>
          <w:color w:val="333333"/>
          <w:kern w:val="0"/>
          <w:sz w:val="18"/>
          <w:szCs w:val="18"/>
        </w:rPr>
      </w:pPr>
    </w:p>
    <w:p w:rsidR="00E659B9" w:rsidRPr="00E659B9" w:rsidRDefault="00E659B9" w:rsidP="00E659B9">
      <w:pPr>
        <w:widowControl/>
        <w:adjustRightInd w:val="0"/>
        <w:snapToGrid w:val="0"/>
        <w:spacing w:line="360" w:lineRule="auto"/>
        <w:jc w:val="left"/>
        <w:rPr>
          <w:rFonts w:ascii="宋体" w:eastAsia="宋体" w:hAnsi="宋体" w:cs="宋体"/>
          <w:color w:val="333333"/>
          <w:kern w:val="0"/>
          <w:sz w:val="18"/>
          <w:szCs w:val="18"/>
        </w:rPr>
      </w:pPr>
      <w:r w:rsidRPr="00E659B9">
        <w:rPr>
          <w:rFonts w:ascii="宋体" w:eastAsia="宋体" w:hAnsi="宋体" w:cs="宋体" w:hint="eastAsia"/>
          <w:bCs/>
          <w:color w:val="333333"/>
          <w:kern w:val="0"/>
          <w:sz w:val="24"/>
          <w:szCs w:val="24"/>
        </w:rPr>
        <w:t>附表4：国家自然科学基金委员会管理科学部“管理科学重要学术期刊目录”</w:t>
      </w:r>
    </w:p>
    <w:tbl>
      <w:tblPr>
        <w:tblW w:w="49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3"/>
        <w:gridCol w:w="3031"/>
        <w:gridCol w:w="1158"/>
        <w:gridCol w:w="3029"/>
      </w:tblGrid>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序号</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期刊名称</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序号</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期刊名称</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管理科学学报</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16</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公共管理学报</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系统工程理论与实践</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17</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管理科学</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3</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管理世界</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18</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预测</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4</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数量经济技术经济研究</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19</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运筹与管理</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5</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中国软科学</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20</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科学学研究</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6</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金融研究</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21</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中国工业经济</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7</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中国管理科学</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22</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农业经济问题</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8</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系统工程学报</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13</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管理学报</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9</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会计研究</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24</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工业工程与管理</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10</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系统工程理论方法应用</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25</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系统工程</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lastRenderedPageBreak/>
              <w:t>11</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管理评论</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26</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科学学与科学技术管理</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12</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管理工程学报</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27</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研究与发展管理</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13</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南开管理评论</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28</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中国人口资源与环境</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14</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科研管理</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29</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数理统计与管理</w:t>
            </w:r>
          </w:p>
        </w:tc>
      </w:tr>
      <w:tr w:rsidR="00E659B9" w:rsidRPr="00E659B9" w:rsidTr="00E659B9">
        <w:trPr>
          <w:trHeight w:val="454"/>
          <w:jc w:val="center"/>
        </w:trPr>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15</w:t>
            </w:r>
          </w:p>
        </w:tc>
        <w:tc>
          <w:tcPr>
            <w:tcW w:w="32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情报学报</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30</w:t>
            </w:r>
          </w:p>
        </w:tc>
        <w:tc>
          <w:tcPr>
            <w:tcW w:w="32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9B9" w:rsidRPr="00E659B9" w:rsidRDefault="00E659B9" w:rsidP="00E659B9">
            <w:pPr>
              <w:widowControl/>
              <w:adjustRightInd w:val="0"/>
              <w:snapToGrid w:val="0"/>
              <w:spacing w:line="360" w:lineRule="auto"/>
              <w:jc w:val="center"/>
              <w:rPr>
                <w:rFonts w:ascii="宋体" w:eastAsia="宋体" w:hAnsi="宋体" w:cs="宋体"/>
                <w:color w:val="666666"/>
                <w:kern w:val="0"/>
                <w:sz w:val="18"/>
                <w:szCs w:val="18"/>
              </w:rPr>
            </w:pPr>
            <w:r w:rsidRPr="00E659B9">
              <w:rPr>
                <w:rFonts w:ascii="宋体" w:eastAsia="宋体" w:hAnsi="宋体" w:cs="宋体" w:hint="eastAsia"/>
                <w:color w:val="666666"/>
                <w:kern w:val="0"/>
                <w:sz w:val="18"/>
                <w:szCs w:val="21"/>
              </w:rPr>
              <w:t>中国农村经济</w:t>
            </w:r>
          </w:p>
        </w:tc>
      </w:tr>
    </w:tbl>
    <w:p w:rsidR="00E659B9" w:rsidRPr="00E659B9" w:rsidRDefault="00E659B9" w:rsidP="00E659B9">
      <w:pPr>
        <w:widowControl/>
        <w:spacing w:before="150" w:line="360" w:lineRule="auto"/>
        <w:jc w:val="left"/>
        <w:rPr>
          <w:rFonts w:ascii="宋体" w:eastAsia="宋体" w:hAnsi="宋体" w:cs="宋体"/>
          <w:color w:val="333333"/>
          <w:kern w:val="0"/>
          <w:sz w:val="18"/>
          <w:szCs w:val="18"/>
        </w:rPr>
      </w:pPr>
    </w:p>
    <w:p w:rsidR="00EF1FF5" w:rsidRDefault="002329C8"/>
    <w:sectPr w:rsidR="00EF1F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9C8" w:rsidRDefault="002329C8" w:rsidP="00A25C4B">
      <w:r>
        <w:separator/>
      </w:r>
    </w:p>
  </w:endnote>
  <w:endnote w:type="continuationSeparator" w:id="0">
    <w:p w:rsidR="002329C8" w:rsidRDefault="002329C8" w:rsidP="00A2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9C8" w:rsidRDefault="002329C8" w:rsidP="00A25C4B">
      <w:r>
        <w:separator/>
      </w:r>
    </w:p>
  </w:footnote>
  <w:footnote w:type="continuationSeparator" w:id="0">
    <w:p w:rsidR="002329C8" w:rsidRDefault="002329C8" w:rsidP="00A25C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B9"/>
    <w:rsid w:val="00114E51"/>
    <w:rsid w:val="002329C8"/>
    <w:rsid w:val="006946F9"/>
    <w:rsid w:val="007044E8"/>
    <w:rsid w:val="00A25C4B"/>
    <w:rsid w:val="00A71540"/>
    <w:rsid w:val="00D32AC1"/>
    <w:rsid w:val="00DE259A"/>
    <w:rsid w:val="00E65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C4B"/>
    <w:rPr>
      <w:sz w:val="18"/>
      <w:szCs w:val="18"/>
    </w:rPr>
  </w:style>
  <w:style w:type="paragraph" w:styleId="a4">
    <w:name w:val="footer"/>
    <w:basedOn w:val="a"/>
    <w:link w:val="Char0"/>
    <w:uiPriority w:val="99"/>
    <w:unhideWhenUsed/>
    <w:rsid w:val="00A25C4B"/>
    <w:pPr>
      <w:tabs>
        <w:tab w:val="center" w:pos="4153"/>
        <w:tab w:val="right" w:pos="8306"/>
      </w:tabs>
      <w:snapToGrid w:val="0"/>
      <w:jc w:val="left"/>
    </w:pPr>
    <w:rPr>
      <w:sz w:val="18"/>
      <w:szCs w:val="18"/>
    </w:rPr>
  </w:style>
  <w:style w:type="character" w:customStyle="1" w:styleId="Char0">
    <w:name w:val="页脚 Char"/>
    <w:basedOn w:val="a0"/>
    <w:link w:val="a4"/>
    <w:uiPriority w:val="99"/>
    <w:rsid w:val="00A25C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25C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5C4B"/>
    <w:rPr>
      <w:sz w:val="18"/>
      <w:szCs w:val="18"/>
    </w:rPr>
  </w:style>
  <w:style w:type="paragraph" w:styleId="a4">
    <w:name w:val="footer"/>
    <w:basedOn w:val="a"/>
    <w:link w:val="Char0"/>
    <w:uiPriority w:val="99"/>
    <w:unhideWhenUsed/>
    <w:rsid w:val="00A25C4B"/>
    <w:pPr>
      <w:tabs>
        <w:tab w:val="center" w:pos="4153"/>
        <w:tab w:val="right" w:pos="8306"/>
      </w:tabs>
      <w:snapToGrid w:val="0"/>
      <w:jc w:val="left"/>
    </w:pPr>
    <w:rPr>
      <w:sz w:val="18"/>
      <w:szCs w:val="18"/>
    </w:rPr>
  </w:style>
  <w:style w:type="character" w:customStyle="1" w:styleId="Char0">
    <w:name w:val="页脚 Char"/>
    <w:basedOn w:val="a0"/>
    <w:link w:val="a4"/>
    <w:uiPriority w:val="99"/>
    <w:rsid w:val="00A25C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31297">
      <w:bodyDiv w:val="1"/>
      <w:marLeft w:val="0"/>
      <w:marRight w:val="0"/>
      <w:marTop w:val="0"/>
      <w:marBottom w:val="0"/>
      <w:divBdr>
        <w:top w:val="none" w:sz="0" w:space="0" w:color="auto"/>
        <w:left w:val="none" w:sz="0" w:space="0" w:color="auto"/>
        <w:bottom w:val="none" w:sz="0" w:space="0" w:color="auto"/>
        <w:right w:val="none" w:sz="0" w:space="0" w:color="auto"/>
      </w:divBdr>
      <w:divsChild>
        <w:div w:id="396393448">
          <w:marLeft w:val="0"/>
          <w:marRight w:val="0"/>
          <w:marTop w:val="0"/>
          <w:marBottom w:val="0"/>
          <w:divBdr>
            <w:top w:val="none" w:sz="0" w:space="0" w:color="auto"/>
            <w:left w:val="none" w:sz="0" w:space="0" w:color="auto"/>
            <w:bottom w:val="none" w:sz="0" w:space="0" w:color="auto"/>
            <w:right w:val="none" w:sz="0" w:space="0" w:color="auto"/>
          </w:divBdr>
          <w:divsChild>
            <w:div w:id="174733260">
              <w:marLeft w:val="375"/>
              <w:marRight w:val="375"/>
              <w:marTop w:val="150"/>
              <w:marBottom w:val="150"/>
              <w:divBdr>
                <w:top w:val="none" w:sz="0" w:space="0" w:color="auto"/>
                <w:left w:val="none" w:sz="0" w:space="0" w:color="auto"/>
                <w:bottom w:val="none" w:sz="0" w:space="0" w:color="auto"/>
                <w:right w:val="none" w:sz="0" w:space="0" w:color="auto"/>
              </w:divBdr>
              <w:divsChild>
                <w:div w:id="2144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回淑玲</dc:creator>
  <cp:lastModifiedBy>Admin</cp:lastModifiedBy>
  <cp:revision>6</cp:revision>
  <dcterms:created xsi:type="dcterms:W3CDTF">2015-06-02T00:23:00Z</dcterms:created>
  <dcterms:modified xsi:type="dcterms:W3CDTF">2019-02-21T07:32:00Z</dcterms:modified>
</cp:coreProperties>
</file>