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32DEE" w14:textId="77777777" w:rsidR="00C23E8E" w:rsidRDefault="00C23E8E" w:rsidP="00C23E8E">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14:paraId="16A5D9DB" w14:textId="77777777" w:rsidR="00C23E8E" w:rsidRDefault="00C23E8E" w:rsidP="00C23E8E">
      <w:pPr>
        <w:adjustRightInd w:val="0"/>
        <w:spacing w:line="540" w:lineRule="exact"/>
        <w:rPr>
          <w:rFonts w:ascii="黑体" w:eastAsia="黑体" w:hAnsi="黑体"/>
          <w:sz w:val="32"/>
          <w:szCs w:val="32"/>
        </w:rPr>
      </w:pPr>
    </w:p>
    <w:p w14:paraId="73A36A97" w14:textId="77777777" w:rsidR="00C23E8E" w:rsidRDefault="00C23E8E" w:rsidP="00C23E8E">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5F3D205C" w14:textId="77777777" w:rsidR="00C23E8E" w:rsidRDefault="00C23E8E" w:rsidP="00C23E8E">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高教主赛道方案</w:t>
      </w:r>
    </w:p>
    <w:p w14:paraId="470F4CDA" w14:textId="77777777" w:rsidR="00C23E8E" w:rsidRDefault="00C23E8E" w:rsidP="00C23E8E">
      <w:pPr>
        <w:spacing w:line="540" w:lineRule="exact"/>
        <w:ind w:firstLineChars="200" w:firstLine="640"/>
        <w:rPr>
          <w:rFonts w:ascii="仿宋_GB2312" w:eastAsia="仿宋_GB2312"/>
          <w:sz w:val="32"/>
          <w:szCs w:val="32"/>
        </w:rPr>
      </w:pPr>
    </w:p>
    <w:p w14:paraId="31042276"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中国国际大学生创新大赛（2</w:t>
      </w:r>
      <w:r>
        <w:rPr>
          <w:rFonts w:ascii="仿宋_GB2312" w:eastAsia="仿宋_GB2312"/>
          <w:sz w:val="32"/>
          <w:szCs w:val="32"/>
        </w:rPr>
        <w:t>024</w:t>
      </w:r>
      <w:r>
        <w:rPr>
          <w:rFonts w:ascii="仿宋_GB2312" w:eastAsia="仿宋_GB2312" w:hint="eastAsia"/>
          <w:sz w:val="32"/>
          <w:szCs w:val="32"/>
        </w:rPr>
        <w:t>）设高教主赛道（含国际参赛项目），具体实施方案如下。</w:t>
      </w:r>
    </w:p>
    <w:p w14:paraId="06AAC57D" w14:textId="77777777" w:rsidR="00C23E8E" w:rsidRDefault="00C23E8E" w:rsidP="00C23E8E">
      <w:pPr>
        <w:spacing w:line="540" w:lineRule="exact"/>
        <w:ind w:firstLineChars="200" w:firstLine="640"/>
        <w:rPr>
          <w:rFonts w:ascii="仿宋_GB2312" w:eastAsia="仿宋_GB2312"/>
          <w:sz w:val="32"/>
          <w:szCs w:val="32"/>
        </w:rPr>
      </w:pPr>
      <w:r>
        <w:rPr>
          <w:rFonts w:ascii="黑体" w:eastAsia="黑体" w:hAnsi="黑体" w:hint="eastAsia"/>
          <w:sz w:val="32"/>
          <w:szCs w:val="32"/>
        </w:rPr>
        <w:t>一、参赛项目类型</w:t>
      </w:r>
      <w:r>
        <w:rPr>
          <w:rFonts w:ascii="仿宋_GB2312" w:eastAsia="仿宋_GB2312" w:hint="eastAsia"/>
          <w:sz w:val="32"/>
          <w:szCs w:val="32"/>
        </w:rPr>
        <w:t xml:space="preserve"> </w:t>
      </w:r>
    </w:p>
    <w:p w14:paraId="6066FDDC"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（一）新工科类项目：大数据、云计算、人工智能、区块链、虚拟现实、智能制造、网络空间安全、机器人工程、工业自动化、新材料等领域，符合新工科建设理念和要求的项目；</w:t>
      </w:r>
    </w:p>
    <w:p w14:paraId="6A25DCA0"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（二）新医科类项目：现代医疗技术、智能医疗设备、新药研发、健康</w:t>
      </w:r>
      <w:proofErr w:type="gramStart"/>
      <w:r>
        <w:rPr>
          <w:rFonts w:ascii="仿宋_GB2312" w:eastAsia="仿宋_GB2312" w:hint="eastAsia"/>
          <w:sz w:val="32"/>
          <w:szCs w:val="32"/>
        </w:rPr>
        <w:t>康</w:t>
      </w:r>
      <w:proofErr w:type="gramEnd"/>
      <w:r>
        <w:rPr>
          <w:rFonts w:ascii="仿宋_GB2312" w:eastAsia="仿宋_GB2312" w:hint="eastAsia"/>
          <w:sz w:val="32"/>
          <w:szCs w:val="32"/>
        </w:rPr>
        <w:t>养、食药保健、智能医学、生物技术、生物材料等领域，符合新医科建设理念和要求的项目；</w:t>
      </w:r>
    </w:p>
    <w:p w14:paraId="498DE20E"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（三）新农科类项目：现代种业、智慧农业、智能农机装备、农业大数据、食品营养、休闲农业、森林康养、生态修复、</w:t>
      </w:r>
      <w:proofErr w:type="gramStart"/>
      <w:r>
        <w:rPr>
          <w:rFonts w:ascii="仿宋_GB2312" w:eastAsia="仿宋_GB2312" w:hint="eastAsia"/>
          <w:sz w:val="32"/>
          <w:szCs w:val="32"/>
        </w:rPr>
        <w:t>农业碳汇等</w:t>
      </w:r>
      <w:proofErr w:type="gramEnd"/>
      <w:r>
        <w:rPr>
          <w:rFonts w:ascii="仿宋_GB2312" w:eastAsia="仿宋_GB2312" w:hint="eastAsia"/>
          <w:sz w:val="32"/>
          <w:szCs w:val="32"/>
        </w:rPr>
        <w:t>领域，符合新农科建设理念和要求的项目；</w:t>
      </w:r>
    </w:p>
    <w:p w14:paraId="63261D8F"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（四）新文科类项目：文化教育、数字经济、金融科技、财经、法</w:t>
      </w:r>
      <w:proofErr w:type="gramStart"/>
      <w:r>
        <w:rPr>
          <w:rFonts w:ascii="仿宋_GB2312" w:eastAsia="仿宋_GB2312" w:hint="eastAsia"/>
          <w:sz w:val="32"/>
          <w:szCs w:val="32"/>
        </w:rPr>
        <w:t>务</w:t>
      </w:r>
      <w:proofErr w:type="gramEnd"/>
      <w:r>
        <w:rPr>
          <w:rFonts w:ascii="仿宋_GB2312" w:eastAsia="仿宋_GB2312" w:hint="eastAsia"/>
          <w:sz w:val="32"/>
          <w:szCs w:val="32"/>
        </w:rPr>
        <w:t>、融媒体、翻译、旅游休闲、动漫、文</w:t>
      </w:r>
      <w:proofErr w:type="gramStart"/>
      <w:r>
        <w:rPr>
          <w:rFonts w:ascii="仿宋_GB2312" w:eastAsia="仿宋_GB2312" w:hint="eastAsia"/>
          <w:sz w:val="32"/>
          <w:szCs w:val="32"/>
        </w:rPr>
        <w:t>创设计与开发</w:t>
      </w:r>
      <w:proofErr w:type="gramEnd"/>
      <w:r>
        <w:rPr>
          <w:rFonts w:ascii="仿宋_GB2312" w:eastAsia="仿宋_GB2312" w:hint="eastAsia"/>
          <w:sz w:val="32"/>
          <w:szCs w:val="32"/>
        </w:rPr>
        <w:t>、电子商务、物流、体育、非物质文化遗产保护、社会工作、家政服务、养老服务等领域，符合新文科建设理念和要求的项目；</w:t>
      </w:r>
    </w:p>
    <w:p w14:paraId="4848D50F" w14:textId="77777777" w:rsidR="00C23E8E" w:rsidRPr="009C3B9C"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（五）“人工智能+”项目：聚焦于</w:t>
      </w:r>
      <w:r w:rsidRPr="001B1B74">
        <w:rPr>
          <w:rFonts w:ascii="仿宋_GB2312" w:eastAsia="仿宋_GB2312" w:hint="eastAsia"/>
          <w:sz w:val="32"/>
          <w:szCs w:val="32"/>
        </w:rPr>
        <w:t>人工智能</w:t>
      </w:r>
      <w:r>
        <w:rPr>
          <w:rFonts w:ascii="仿宋_GB2312" w:eastAsia="仿宋_GB2312" w:hint="eastAsia"/>
          <w:sz w:val="32"/>
          <w:szCs w:val="32"/>
        </w:rPr>
        <w:t>深度融合</w:t>
      </w:r>
      <w:r w:rsidRPr="001B1B74">
        <w:rPr>
          <w:rFonts w:ascii="仿宋_GB2312" w:eastAsia="仿宋_GB2312" w:hint="eastAsia"/>
          <w:sz w:val="32"/>
          <w:szCs w:val="32"/>
        </w:rPr>
        <w:lastRenderedPageBreak/>
        <w:t>经济社会各领域</w:t>
      </w:r>
      <w:r>
        <w:rPr>
          <w:rFonts w:ascii="仿宋_GB2312" w:eastAsia="仿宋_GB2312" w:hint="eastAsia"/>
          <w:sz w:val="32"/>
          <w:szCs w:val="32"/>
        </w:rPr>
        <w:t>发展、</w:t>
      </w:r>
      <w:r w:rsidRPr="001B1B74">
        <w:rPr>
          <w:rFonts w:ascii="仿宋_GB2312" w:eastAsia="仿宋_GB2312" w:hint="eastAsia"/>
          <w:sz w:val="32"/>
          <w:szCs w:val="32"/>
        </w:rPr>
        <w:t>赋能千行百业智能化转型升级</w:t>
      </w:r>
      <w:r>
        <w:rPr>
          <w:rFonts w:ascii="仿宋_GB2312" w:eastAsia="仿宋_GB2312" w:hint="eastAsia"/>
          <w:sz w:val="32"/>
          <w:szCs w:val="32"/>
        </w:rPr>
        <w:t>，符合“人工智能+”发展理念和要求的项目。</w:t>
      </w:r>
    </w:p>
    <w:p w14:paraId="2D227FAF"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参赛项目团队应认真了解和把握</w:t>
      </w:r>
      <w:r w:rsidRPr="00894566">
        <w:rPr>
          <w:rFonts w:ascii="仿宋_GB2312" w:eastAsia="仿宋_GB2312" w:hint="eastAsia"/>
          <w:sz w:val="32"/>
          <w:szCs w:val="32"/>
        </w:rPr>
        <w:t>新质生产力的内涵及要求</w:t>
      </w:r>
      <w:r>
        <w:rPr>
          <w:rFonts w:ascii="仿宋_GB2312" w:eastAsia="仿宋_GB2312" w:hint="eastAsia"/>
          <w:sz w:val="32"/>
          <w:szCs w:val="32"/>
        </w:rPr>
        <w:t>，结合以上分类及项目实际，合理选择参赛项目类别，根据</w:t>
      </w:r>
      <w:r w:rsidDel="00C81F89">
        <w:rPr>
          <w:rFonts w:ascii="仿宋_GB2312" w:eastAsia="仿宋_GB2312" w:hint="eastAsia"/>
          <w:sz w:val="32"/>
          <w:szCs w:val="32"/>
        </w:rPr>
        <w:t xml:space="preserve"> </w:t>
      </w:r>
      <w:r>
        <w:rPr>
          <w:rFonts w:ascii="仿宋_GB2312" w:eastAsia="仿宋_GB2312" w:hint="eastAsia"/>
          <w:sz w:val="32"/>
          <w:szCs w:val="32"/>
        </w:rPr>
        <w:t>“四新”“人工智能+”建设内涵和产业发展方向选择相应类型。</w:t>
      </w:r>
    </w:p>
    <w:p w14:paraId="1F89313F" w14:textId="77777777" w:rsidR="00C23E8E" w:rsidRDefault="00C23E8E" w:rsidP="00C23E8E">
      <w:pPr>
        <w:spacing w:line="540" w:lineRule="exact"/>
        <w:ind w:firstLineChars="200" w:firstLine="640"/>
        <w:rPr>
          <w:rFonts w:ascii="黑体" w:eastAsia="黑体" w:hAnsi="黑体"/>
          <w:sz w:val="32"/>
          <w:szCs w:val="32"/>
        </w:rPr>
      </w:pPr>
      <w:r>
        <w:rPr>
          <w:rFonts w:ascii="黑体" w:eastAsia="黑体" w:hAnsi="黑体" w:hint="eastAsia"/>
          <w:sz w:val="32"/>
          <w:szCs w:val="32"/>
        </w:rPr>
        <w:t>二、参赛方式和要求</w:t>
      </w:r>
    </w:p>
    <w:p w14:paraId="6D32FB1A"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（一）本赛道以团队为单位报名参赛。允许跨校组建参赛团队，每个团队的成员不少于3人，不多于15人（含团队负责人），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。参赛团队所报参赛项目，须为本团队策划或经营的项目，不得借用他人项目参赛。</w:t>
      </w:r>
    </w:p>
    <w:p w14:paraId="57D7FDA5"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142A7DAF"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（三）所有参赛材料和现场答辩原则上使用中文或英文，如有其他语言需求，请联系大赛组委会。</w:t>
      </w:r>
    </w:p>
    <w:p w14:paraId="3D2454C7" w14:textId="77777777" w:rsidR="00C23E8E" w:rsidRDefault="00C23E8E" w:rsidP="00C23E8E">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14:paraId="35D52498"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根据参赛申报人所处学习阶段，项目分为本科生组、研究生组。根据项目发展阶段，本科生组和研究生组均内设创意组、创业组，并按照新工科、新医科、新农科、新文科、“人工智能+”设置参赛项目类型。</w:t>
      </w:r>
    </w:p>
    <w:p w14:paraId="4CE9ADF0"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具体参赛条件如下：</w:t>
      </w:r>
    </w:p>
    <w:p w14:paraId="3BC2BE68" w14:textId="77777777" w:rsidR="00C23E8E" w:rsidRDefault="00C23E8E" w:rsidP="00C23E8E">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本科生组</w:t>
      </w:r>
    </w:p>
    <w:p w14:paraId="390F7D0A"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1.创意组</w:t>
      </w:r>
    </w:p>
    <w:p w14:paraId="223CB9A2"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（1）参赛项目具有较好的创意和较为成型的产品原型或服务模式，</w:t>
      </w:r>
      <w:bookmarkStart w:id="0" w:name="_Hlk161994659"/>
      <w:r>
        <w:rPr>
          <w:rFonts w:ascii="仿宋_GB2312" w:eastAsia="仿宋_GB2312" w:hint="eastAsia"/>
          <w:sz w:val="32"/>
          <w:szCs w:val="32"/>
        </w:rPr>
        <w:t>在大赛通知下发之日前</w:t>
      </w:r>
      <w:bookmarkEnd w:id="0"/>
      <w:r>
        <w:rPr>
          <w:rFonts w:ascii="仿宋_GB2312" w:eastAsia="仿宋_GB2312" w:hint="eastAsia"/>
          <w:sz w:val="32"/>
          <w:szCs w:val="32"/>
        </w:rPr>
        <w:t>尚未完成工商等各类登记注册。</w:t>
      </w:r>
    </w:p>
    <w:p w14:paraId="0EAA3CE5"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（2）参赛申报人须为项目负责人，项目负责人及成员均须为普通高等学校全日制在校本专科生（不含在职教育）。</w:t>
      </w:r>
    </w:p>
    <w:p w14:paraId="33EEC3C8"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69D99809"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.创业组</w:t>
      </w:r>
    </w:p>
    <w:p w14:paraId="5BAA7CF1"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（1）参赛项目须已完成工商等各类登记注册（</w:t>
      </w:r>
      <w:r w:rsidRPr="00D53BFA">
        <w:rPr>
          <w:rFonts w:ascii="仿宋_GB2312" w:eastAsia="仿宋_GB2312" w:hint="eastAsia"/>
          <w:sz w:val="32"/>
          <w:szCs w:val="32"/>
        </w:rPr>
        <w:t>在大赛通知下发之日前</w:t>
      </w:r>
      <w:r>
        <w:rPr>
          <w:rFonts w:ascii="仿宋_GB2312" w:eastAsia="仿宋_GB2312" w:hint="eastAsia"/>
          <w:sz w:val="32"/>
          <w:szCs w:val="32"/>
        </w:rPr>
        <w:t>注册）。</w:t>
      </w:r>
    </w:p>
    <w:p w14:paraId="36880411"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w:t>
      </w:r>
      <w:r>
        <w:rPr>
          <w:rFonts w:ascii="仿宋_GB2312" w:eastAsia="仿宋_GB2312"/>
          <w:sz w:val="32"/>
          <w:szCs w:val="32"/>
        </w:rPr>
        <w:t>9</w:t>
      </w:r>
      <w:r>
        <w:rPr>
          <w:rFonts w:ascii="仿宋_GB2312" w:eastAsia="仿宋_GB2312" w:hint="eastAsia"/>
          <w:sz w:val="32"/>
          <w:szCs w:val="32"/>
        </w:rPr>
        <w:t>年之后的毕业生，不含在职教育）。企业法定代表人在大赛通知发布之日后进行变更的不予认可。</w:t>
      </w:r>
    </w:p>
    <w:p w14:paraId="1B10C3D7"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6D35C367" w14:textId="77777777" w:rsidR="00C23E8E" w:rsidRDefault="00C23E8E" w:rsidP="00C23E8E">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研究生组</w:t>
      </w:r>
    </w:p>
    <w:p w14:paraId="42963E61"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14:paraId="18E3E1BD" w14:textId="77777777" w:rsidR="00C23E8E" w:rsidRDefault="00C23E8E" w:rsidP="00C23E8E">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14:paraId="7957C29C"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（2）参赛申报人须为项目负责人，须为普通高等学校全日制在校研究生。项目成员须为普通高等学校全日制在</w:t>
      </w:r>
      <w:r>
        <w:rPr>
          <w:rFonts w:ascii="仿宋_GB2312" w:eastAsia="仿宋_GB2312" w:hint="eastAsia"/>
          <w:sz w:val="32"/>
          <w:szCs w:val="32"/>
        </w:rPr>
        <w:lastRenderedPageBreak/>
        <w:t>校研究生或本专科生（不含在职教育）。</w:t>
      </w:r>
    </w:p>
    <w:p w14:paraId="36D1C84B"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14:paraId="28FDB532"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.创业组</w:t>
      </w:r>
    </w:p>
    <w:p w14:paraId="281D11BD"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（1）参赛项目须已完成工商等各类登记注册（在大赛通知下发之日前注册）。</w:t>
      </w:r>
    </w:p>
    <w:p w14:paraId="7E3E3994"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（2）参赛申报人须为项目负责人且为参赛企业法定代表人，须为普通高等学校全日制在校研究生，或毕业5年以内的全日制研究生学历学生（即201</w:t>
      </w:r>
      <w:r>
        <w:rPr>
          <w:rFonts w:ascii="仿宋_GB2312" w:eastAsia="仿宋_GB2312"/>
          <w:sz w:val="32"/>
          <w:szCs w:val="32"/>
        </w:rPr>
        <w:t>9</w:t>
      </w:r>
      <w:r>
        <w:rPr>
          <w:rFonts w:ascii="仿宋_GB2312" w:eastAsia="仿宋_GB2312" w:hint="eastAsia"/>
          <w:sz w:val="32"/>
          <w:szCs w:val="32"/>
        </w:rPr>
        <w:t>年之后的研究生学历毕业生）。企业法定代表人在大赛通知发布之日后进行变更的不予认可。</w:t>
      </w:r>
    </w:p>
    <w:p w14:paraId="3433CC44" w14:textId="77777777" w:rsidR="00C23E8E" w:rsidRDefault="00C23E8E" w:rsidP="00C23E8E">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14:paraId="42301CF4" w14:textId="77777777" w:rsidR="00C23E8E" w:rsidRDefault="00C23E8E" w:rsidP="00C23E8E">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14:paraId="4AD384B9" w14:textId="77777777" w:rsidR="00C23E8E" w:rsidRDefault="00C23E8E" w:rsidP="00C23E8E">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（一）本赛道设置金奖、银奖、铜奖，中国大陆参赛项目设金奖200个、银奖400个、铜奖1200个，中国港澳台地区参赛项目设金奖</w:t>
      </w:r>
      <w:r>
        <w:rPr>
          <w:rFonts w:ascii="仿宋_GB2312" w:eastAsia="仿宋_GB2312"/>
          <w:sz w:val="32"/>
          <w:szCs w:val="32"/>
        </w:rPr>
        <w:t>10</w:t>
      </w:r>
      <w:r>
        <w:rPr>
          <w:rFonts w:ascii="仿宋_GB2312" w:eastAsia="仿宋_GB2312" w:hint="eastAsia"/>
          <w:sz w:val="32"/>
          <w:szCs w:val="32"/>
        </w:rPr>
        <w:t>个、银奖</w:t>
      </w:r>
      <w:r>
        <w:rPr>
          <w:rFonts w:ascii="仿宋_GB2312" w:eastAsia="仿宋_GB2312"/>
          <w:sz w:val="32"/>
          <w:szCs w:val="32"/>
        </w:rPr>
        <w:t>20</w:t>
      </w:r>
      <w:r>
        <w:rPr>
          <w:rFonts w:ascii="仿宋_GB2312" w:eastAsia="仿宋_GB2312" w:hint="eastAsia"/>
          <w:sz w:val="32"/>
          <w:szCs w:val="32"/>
        </w:rPr>
        <w:t>个、铜奖另定，国际参赛项目设金奖50个、银奖100个、铜奖350个。</w:t>
      </w:r>
    </w:p>
    <w:p w14:paraId="32404960" w14:textId="2BD688B3" w:rsidR="00C72969" w:rsidRPr="00C23E8E" w:rsidRDefault="00C23E8E" w:rsidP="00C23E8E">
      <w:pPr>
        <w:spacing w:line="540" w:lineRule="exact"/>
        <w:ind w:firstLineChars="200" w:firstLine="640"/>
        <w:rPr>
          <w:rFonts w:ascii="黑体" w:eastAsia="黑体" w:hAnsi="黑体" w:hint="eastAsia"/>
          <w:sz w:val="32"/>
          <w:szCs w:val="32"/>
        </w:rPr>
      </w:pPr>
      <w:r>
        <w:rPr>
          <w:rFonts w:ascii="仿宋_GB2312" w:eastAsia="仿宋_GB2312" w:hint="eastAsia"/>
          <w:sz w:val="32"/>
          <w:szCs w:val="32"/>
        </w:rPr>
        <w:t>（二）</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sectPr w:rsidR="00C72969" w:rsidRPr="00C23E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EB361" w14:textId="77777777" w:rsidR="005164B5" w:rsidRDefault="005164B5" w:rsidP="00C23E8E">
      <w:r>
        <w:separator/>
      </w:r>
    </w:p>
  </w:endnote>
  <w:endnote w:type="continuationSeparator" w:id="0">
    <w:p w14:paraId="20D16259" w14:textId="77777777" w:rsidR="005164B5" w:rsidRDefault="005164B5" w:rsidP="00C2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90BC6" w14:textId="77777777" w:rsidR="005164B5" w:rsidRDefault="005164B5" w:rsidP="00C23E8E">
      <w:r>
        <w:separator/>
      </w:r>
    </w:p>
  </w:footnote>
  <w:footnote w:type="continuationSeparator" w:id="0">
    <w:p w14:paraId="15E67BFB" w14:textId="77777777" w:rsidR="005164B5" w:rsidRDefault="005164B5" w:rsidP="00C23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60BA"/>
    <w:rsid w:val="004A60BA"/>
    <w:rsid w:val="005164B5"/>
    <w:rsid w:val="00C23E8E"/>
    <w:rsid w:val="00C72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EA80E"/>
  <w15:chartTrackingRefBased/>
  <w15:docId w15:val="{522B103B-0398-47B9-BC21-9EE84EE2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E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E8E"/>
    <w:pPr>
      <w:tabs>
        <w:tab w:val="center" w:pos="4153"/>
        <w:tab w:val="right" w:pos="8306"/>
      </w:tabs>
      <w:snapToGrid w:val="0"/>
      <w:jc w:val="center"/>
    </w:pPr>
    <w:rPr>
      <w:sz w:val="18"/>
      <w:szCs w:val="18"/>
    </w:rPr>
  </w:style>
  <w:style w:type="character" w:customStyle="1" w:styleId="a4">
    <w:name w:val="页眉 字符"/>
    <w:basedOn w:val="a0"/>
    <w:link w:val="a3"/>
    <w:uiPriority w:val="99"/>
    <w:rsid w:val="00C23E8E"/>
    <w:rPr>
      <w:sz w:val="18"/>
      <w:szCs w:val="18"/>
    </w:rPr>
  </w:style>
  <w:style w:type="paragraph" w:styleId="a5">
    <w:name w:val="footer"/>
    <w:basedOn w:val="a"/>
    <w:link w:val="a6"/>
    <w:uiPriority w:val="99"/>
    <w:unhideWhenUsed/>
    <w:rsid w:val="00C23E8E"/>
    <w:pPr>
      <w:tabs>
        <w:tab w:val="center" w:pos="4153"/>
        <w:tab w:val="right" w:pos="8306"/>
      </w:tabs>
      <w:snapToGrid w:val="0"/>
      <w:jc w:val="left"/>
    </w:pPr>
    <w:rPr>
      <w:sz w:val="18"/>
      <w:szCs w:val="18"/>
    </w:rPr>
  </w:style>
  <w:style w:type="character" w:customStyle="1" w:styleId="a6">
    <w:name w:val="页脚 字符"/>
    <w:basedOn w:val="a0"/>
    <w:link w:val="a5"/>
    <w:uiPriority w:val="99"/>
    <w:rsid w:val="00C23E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907</Words>
  <Characters>954</Characters>
  <Application>Microsoft Office Word</Application>
  <DocSecurity>0</DocSecurity>
  <Lines>50</Lines>
  <Paragraphs>37</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cao</dc:creator>
  <cp:keywords/>
  <dc:description/>
  <cp:lastModifiedBy>yuan cao</cp:lastModifiedBy>
  <cp:revision>2</cp:revision>
  <dcterms:created xsi:type="dcterms:W3CDTF">2024-05-09T01:57:00Z</dcterms:created>
  <dcterms:modified xsi:type="dcterms:W3CDTF">2024-05-09T03:00:00Z</dcterms:modified>
</cp:coreProperties>
</file>